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Schedule 33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33 may be included to adapt the Core Terms and Schedules so that the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Schedule 23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Contract it shall have the effect of substituting the equivalent legislation applicable in Scotland.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1">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v1.0</w:t>
    </w:r>
    <w:r w:rsidDel="00000000" w:rsidR="00000000" w:rsidRPr="00000000">
      <w:rPr>
        <w:rtl w:val="0"/>
      </w:rPr>
    </w:r>
  </w:p>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tab/>
      <w:tab/>
      <w:t xml:space="preserve">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33 (Scottish Law)</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tPo7TKhuK22JZH6UQrgJHgEWXw==">AMUW2mXFhivNRoEgp0l7Mw+Nd9+v0hyQdydj7FISeeneXM0+Nx4+cqnS46IT3Anp7LTFabKip/fhCn36HNe9PXvpCcDHiZKFmhQBCiGA2OzsYGABeRhaRkTwwCw+kbA9ftfzL3Ib0mok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2019-05-09T15:40:00Z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